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CA43" w14:textId="77777777" w:rsidR="00F503F1" w:rsidRPr="00F503F1" w:rsidRDefault="00F503F1" w:rsidP="00F503F1">
      <w:pPr>
        <w:jc w:val="both"/>
        <w:rPr>
          <w:rFonts w:ascii="Raleigh BT" w:hAnsi="Raleigh BT"/>
          <w:b/>
          <w:bCs/>
        </w:rPr>
      </w:pPr>
      <w:r w:rsidRPr="00F503F1">
        <w:rPr>
          <w:rFonts w:ascii="Raleigh BT" w:hAnsi="Raleigh BT"/>
          <w:b/>
          <w:bCs/>
        </w:rPr>
        <w:t>Obras Públicas</w:t>
      </w:r>
    </w:p>
    <w:p w14:paraId="6C5ADDEA" w14:textId="77777777" w:rsidR="00F503F1" w:rsidRPr="00F503F1" w:rsidRDefault="00F503F1" w:rsidP="00F503F1">
      <w:pPr>
        <w:jc w:val="both"/>
        <w:rPr>
          <w:rFonts w:ascii="Raleigh BT" w:hAnsi="Raleigh BT"/>
          <w:b/>
          <w:bCs/>
        </w:rPr>
      </w:pPr>
      <w:r w:rsidRPr="00F503F1">
        <w:rPr>
          <w:rFonts w:ascii="Raleigh BT" w:hAnsi="Raleigh BT"/>
          <w:b/>
          <w:bCs/>
        </w:rPr>
        <w:br/>
        <w:t>* Incluye información del Organismo Autónomo de Actividades Musicales</w:t>
      </w:r>
    </w:p>
    <w:p w14:paraId="75004B85" w14:textId="77777777" w:rsidR="00F503F1" w:rsidRPr="00F503F1" w:rsidRDefault="00F503F1" w:rsidP="00F503F1">
      <w:pPr>
        <w:jc w:val="both"/>
        <w:rPr>
          <w:rFonts w:ascii="Raleigh BT" w:hAnsi="Raleigh BT"/>
          <w:b/>
          <w:bCs/>
        </w:rPr>
      </w:pPr>
      <w:r w:rsidRPr="00F503F1">
        <w:rPr>
          <w:rFonts w:ascii="Raleigh BT" w:hAnsi="Raleigh BT"/>
          <w:b/>
          <w:bCs/>
        </w:rPr>
        <w:t>OBRAS PUBLICAS EN FASE DE ADJUDICACIÓN</w:t>
      </w:r>
    </w:p>
    <w:p w14:paraId="275E34B7" w14:textId="77777777" w:rsidR="00F503F1" w:rsidRPr="00F503F1" w:rsidRDefault="00F503F1" w:rsidP="00F503F1">
      <w:pPr>
        <w:numPr>
          <w:ilvl w:val="0"/>
          <w:numId w:val="2"/>
        </w:numPr>
        <w:jc w:val="both"/>
        <w:rPr>
          <w:rFonts w:ascii="Raleigh BT" w:hAnsi="Raleigh BT"/>
        </w:rPr>
      </w:pPr>
      <w:hyperlink r:id="rId7" w:history="1">
        <w:r w:rsidRPr="00F503F1">
          <w:rPr>
            <w:rStyle w:val="Hipervnculo"/>
            <w:rFonts w:ascii="Raleigh BT" w:hAnsi="Raleigh BT"/>
          </w:rPr>
          <w:t>Presupuesto, pliegos y criterios de adjudicación; número de empresas que han concurrido a la licitación y empresa/s adjudicatarias</w:t>
        </w:r>
      </w:hyperlink>
    </w:p>
    <w:p w14:paraId="64190CA5" w14:textId="77777777" w:rsidR="00F503F1" w:rsidRPr="00F503F1" w:rsidRDefault="00F503F1" w:rsidP="00F503F1">
      <w:pPr>
        <w:jc w:val="both"/>
        <w:rPr>
          <w:rFonts w:ascii="Raleigh BT" w:hAnsi="Raleigh BT"/>
          <w:b/>
          <w:bCs/>
        </w:rPr>
      </w:pPr>
      <w:r w:rsidRPr="00F503F1">
        <w:rPr>
          <w:rFonts w:ascii="Raleigh BT" w:hAnsi="Raleigh BT"/>
          <w:b/>
          <w:bCs/>
        </w:rPr>
        <w:t>OBRAS PUBLICAS EN FASE DE EJECUCIÓN Y ADMINISTRACIÓN O ADMINISTRACIONES QUE LAS FINANCIAN</w:t>
      </w:r>
    </w:p>
    <w:p w14:paraId="300710AD" w14:textId="77777777" w:rsidR="00F503F1" w:rsidRPr="00F503F1" w:rsidRDefault="00F503F1" w:rsidP="00F503F1">
      <w:pPr>
        <w:numPr>
          <w:ilvl w:val="0"/>
          <w:numId w:val="3"/>
        </w:numPr>
        <w:jc w:val="both"/>
        <w:rPr>
          <w:rFonts w:ascii="Raleigh BT" w:hAnsi="Raleigh BT"/>
        </w:rPr>
      </w:pPr>
      <w:hyperlink r:id="rId8" w:tgtFrame="_blank" w:history="1">
        <w:r w:rsidRPr="00F503F1">
          <w:rPr>
            <w:rStyle w:val="Hipervnculo"/>
            <w:rFonts w:ascii="Raleigh BT" w:hAnsi="Raleigh BT"/>
          </w:rPr>
          <w:t>Denominación y descripción de la obra; importe de su ejecución, diferenciando el presupuesto inicial de cada una de las modificaciones o revisiones posteriores; administraciones, organismos o entidades que la financian, incluyendo el importe que les corresponde; persona o entidad adjudicataria de la ejecución material; fecha de inicio y conclusión, prórrogas o ampliaciones del plazo de ejecución; penalizaciones impuestas por incumplimientos del/de la contratista; administración titular de la obra ejecutada y, en su caso, del mantenimiento posterior de la misma</w:t>
        </w:r>
      </w:hyperlink>
    </w:p>
    <w:p w14:paraId="6F5FC53E" w14:textId="77777777" w:rsidR="008E5E9F" w:rsidRDefault="008E5E9F">
      <w:pPr>
        <w:jc w:val="both"/>
        <w:rPr>
          <w:rFonts w:ascii="Raleigh BT" w:hAnsi="Raleigh BT"/>
        </w:rPr>
      </w:pPr>
    </w:p>
    <w:sectPr w:rsidR="008E5E9F">
      <w:headerReference w:type="default" r:id="rId9"/>
      <w:headerReference w:type="first" r:id="rId10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0730" w14:textId="77777777" w:rsidR="00CE2D93" w:rsidRDefault="00CE2D93">
      <w:pPr>
        <w:spacing w:after="0" w:line="240" w:lineRule="auto"/>
      </w:pPr>
      <w:r>
        <w:separator/>
      </w:r>
    </w:p>
  </w:endnote>
  <w:endnote w:type="continuationSeparator" w:id="0">
    <w:p w14:paraId="3DC14887" w14:textId="77777777" w:rsidR="00CE2D93" w:rsidRDefault="00CE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B669" w14:textId="77777777" w:rsidR="00CE2D93" w:rsidRDefault="00CE2D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95ABBD" w14:textId="77777777" w:rsidR="00CE2D93" w:rsidRDefault="00CE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B9CD4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315F06" w14:paraId="21B2DE2D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39130E15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4544D1CB" wp14:editId="7C313D4C">
                <wp:extent cx="1275716" cy="1187448"/>
                <wp:effectExtent l="0" t="0" r="634" b="0"/>
                <wp:docPr id="156083445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2B100C41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315F06" w14:paraId="5171CF9B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66021F8A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7A80DE00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3CD1A348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16364DF8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D233D"/>
    <w:multiLevelType w:val="multilevel"/>
    <w:tmpl w:val="3DDE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A7696"/>
    <w:multiLevelType w:val="multilevel"/>
    <w:tmpl w:val="590CB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" w15:restartNumberingAfterBreak="0">
    <w:nsid w:val="7DFD302A"/>
    <w:multiLevelType w:val="multilevel"/>
    <w:tmpl w:val="03DC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526217">
    <w:abstractNumId w:val="1"/>
  </w:num>
  <w:num w:numId="2" w16cid:durableId="30765847">
    <w:abstractNumId w:val="2"/>
  </w:num>
  <w:num w:numId="3" w16cid:durableId="145964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5E9F"/>
    <w:rsid w:val="00332F09"/>
    <w:rsid w:val="008E5E9F"/>
    <w:rsid w:val="00CE2D93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2916"/>
  <w15:docId w15:val="{4CBE6B7C-7B5A-4DA4-88CF-250B6943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42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7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8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4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3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3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tenerife.es/planificacion-y-programacion/pic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transparencia/indicador-contratos/contratos-adjudicad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>Ayto La Laguna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2025-04-09T15:43:00Z</dcterms:created>
  <dcterms:modified xsi:type="dcterms:W3CDTF">2025-04-09T15:43:00Z</dcterms:modified>
</cp:coreProperties>
</file>