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0ED5" w14:textId="77777777" w:rsidR="00DB60FC" w:rsidRDefault="00DB60FC" w:rsidP="00DB60FC">
      <w:pPr>
        <w:shd w:val="clear" w:color="auto" w:fill="FFFFFF"/>
        <w:spacing w:before="300" w:after="150" w:line="240" w:lineRule="auto"/>
        <w:jc w:val="both"/>
        <w:outlineLvl w:val="2"/>
        <w:rPr>
          <w:rFonts w:ascii="Raleigh BT" w:eastAsia="Times New Roman" w:hAnsi="Raleigh BT" w:cs="Arial"/>
          <w:b/>
          <w:bCs/>
          <w:color w:val="000000"/>
          <w:kern w:val="0"/>
          <w:sz w:val="40"/>
          <w:szCs w:val="40"/>
          <w:lang w:eastAsia="es-ES"/>
          <w14:ligatures w14:val="none"/>
        </w:rPr>
      </w:pPr>
      <w:r w:rsidRPr="00DB60FC">
        <w:rPr>
          <w:rFonts w:ascii="Raleigh BT" w:eastAsia="Times New Roman" w:hAnsi="Raleigh BT" w:cs="Arial"/>
          <w:b/>
          <w:bCs/>
          <w:color w:val="000000"/>
          <w:kern w:val="0"/>
          <w:sz w:val="40"/>
          <w:szCs w:val="40"/>
          <w:lang w:eastAsia="es-ES"/>
          <w14:ligatures w14:val="none"/>
        </w:rPr>
        <w:t>Servicios de asistencia del Cabildo</w:t>
      </w:r>
    </w:p>
    <w:p w14:paraId="0419A6C4" w14:textId="77777777" w:rsidR="00DB60FC" w:rsidRPr="00DB60FC" w:rsidRDefault="00DB60FC" w:rsidP="00DB60FC">
      <w:pPr>
        <w:shd w:val="clear" w:color="auto" w:fill="FFFFFF"/>
        <w:spacing w:before="300" w:after="150" w:line="240" w:lineRule="auto"/>
        <w:jc w:val="both"/>
        <w:outlineLvl w:val="2"/>
        <w:rPr>
          <w:rFonts w:ascii="Raleigh BT" w:eastAsia="Times New Roman" w:hAnsi="Raleigh BT" w:cs="Arial"/>
          <w:b/>
          <w:bCs/>
          <w:color w:val="000000"/>
          <w:kern w:val="0"/>
          <w:sz w:val="40"/>
          <w:szCs w:val="40"/>
          <w:lang w:eastAsia="es-ES"/>
          <w14:ligatures w14:val="none"/>
        </w:rPr>
      </w:pPr>
    </w:p>
    <w:p w14:paraId="380C590F" w14:textId="77777777" w:rsidR="00DB60FC" w:rsidRDefault="00DB60FC" w:rsidP="00DB60FC">
      <w:pPr>
        <w:shd w:val="clear" w:color="auto" w:fill="FFFFFF"/>
        <w:spacing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Los cabildos insulares pueden prestar asistencia a los municipios de su respectiva isla , previa solicitud de los mismos.</w:t>
      </w:r>
    </w:p>
    <w:p w14:paraId="123DB396" w14:textId="671F54FD" w:rsidR="00DB60FC" w:rsidRPr="00DB60FC" w:rsidRDefault="00DB60FC" w:rsidP="00DB60FC">
      <w:pPr>
        <w:shd w:val="clear" w:color="auto" w:fill="FFFFFF"/>
        <w:spacing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br/>
        <w:t>Este Ayuntamiento durante el ejercicio 2017 no ha formulado ninguna solicitud en este sentido al Cabildo de Tenerife.</w:t>
      </w:r>
    </w:p>
    <w:p w14:paraId="641F296D" w14:textId="77777777" w:rsidR="00DB60FC" w:rsidRPr="00DB60FC" w:rsidRDefault="00DB60FC" w:rsidP="00DB60FC">
      <w:pPr>
        <w:shd w:val="clear" w:color="auto" w:fill="FFFFFF"/>
        <w:spacing w:before="300" w:after="150" w:line="240" w:lineRule="auto"/>
        <w:jc w:val="both"/>
        <w:outlineLvl w:val="2"/>
        <w:rPr>
          <w:rFonts w:ascii="Raleigh BT" w:eastAsia="Times New Roman" w:hAnsi="Raleigh BT" w:cs="Arial"/>
          <w:color w:val="000000"/>
          <w:kern w:val="0"/>
          <w:lang w:eastAsia="es-ES"/>
          <w14:ligatures w14:val="none"/>
        </w:rPr>
      </w:pPr>
      <w:r w:rsidRPr="00DB60FC">
        <w:rPr>
          <w:rFonts w:ascii="Raleigh BT" w:eastAsia="Times New Roman" w:hAnsi="Raleigh BT" w:cs="Arial"/>
          <w:color w:val="000000"/>
          <w:kern w:val="0"/>
          <w:lang w:eastAsia="es-ES"/>
          <w14:ligatures w14:val="none"/>
        </w:rPr>
        <w:t>Ley 8/2015, de 1 de abril, de Cabildos Insulares.</w:t>
      </w:r>
    </w:p>
    <w:p w14:paraId="1A8533AF"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Artículo 10. Competencias de asistencia a los municipios.</w:t>
      </w:r>
    </w:p>
    <w:p w14:paraId="031C886F" w14:textId="77777777" w:rsidR="00DB60FC" w:rsidRPr="00DB60FC" w:rsidRDefault="00DB60FC" w:rsidP="00DB60FC">
      <w:pPr>
        <w:shd w:val="clear" w:color="auto" w:fill="FFFFFF"/>
        <w:spacing w:after="150" w:line="375" w:lineRule="atLeast"/>
        <w:ind w:firstLine="708"/>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1. Los cabildos insulares, para garantizar el ejercicio de las competencias municipales, prestarán asistencia a los municipios de su respectiva isla, especialmente a los de menos de 20.000 habitantes, y con atención preferente a los municipios con insuficiente capacidad económica y de gestión, así como al establecimiento y adecuada prestación de los servicios mínimos.</w:t>
      </w:r>
    </w:p>
    <w:p w14:paraId="78AAC537" w14:textId="77777777" w:rsidR="00DB60FC" w:rsidRPr="00DB60FC" w:rsidRDefault="00DB60FC" w:rsidP="00DB60FC">
      <w:pPr>
        <w:shd w:val="clear" w:color="auto" w:fill="FFFFFF"/>
        <w:spacing w:after="150" w:line="375" w:lineRule="atLeast"/>
        <w:ind w:firstLine="708"/>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2. En el ejercicio de sus competencias de asistencia a los municipios, los cabildos insulares se ajustarán a los siguientes principios:</w:t>
      </w:r>
    </w:p>
    <w:p w14:paraId="4A5CC658"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a) Solidaridad territorial y social.</w:t>
      </w:r>
    </w:p>
    <w:p w14:paraId="6431F602"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b) Planificación y programación de la actividad insular.</w:t>
      </w:r>
    </w:p>
    <w:p w14:paraId="6BB794F9"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c) Concertación con los municipios de las acciones que les afecten o interesen.</w:t>
      </w:r>
    </w:p>
    <w:p w14:paraId="7CDB0406"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d) Promoción y, en su caso, creación, mantenimiento y gestión de redes de servicios públicos municipales en las que puedan integrarse o a las que puedan adherirse voluntariamente los municipios.</w:t>
      </w:r>
    </w:p>
    <w:p w14:paraId="793645D9" w14:textId="77777777" w:rsidR="00DB60FC" w:rsidRPr="00DB60FC" w:rsidRDefault="00DB60FC" w:rsidP="00DB60FC">
      <w:pPr>
        <w:shd w:val="clear" w:color="auto" w:fill="FFFFFF"/>
        <w:spacing w:after="150" w:line="375" w:lineRule="atLeast"/>
        <w:ind w:firstLine="708"/>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3. La asistencia de los cabildos insulares a los municipios podrá consistir en:</w:t>
      </w:r>
    </w:p>
    <w:p w14:paraId="322296C9"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a) La asistencia técnica, de información, asesoramiento, realización de estudios, elaboración de planes y disposiciones, formación y apoyo tecnológico.</w:t>
      </w:r>
    </w:p>
    <w:p w14:paraId="73FF67B8"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b) La cooperación económica para la financiación de inversiones, actividades y servicios de competencia municipal.</w:t>
      </w:r>
    </w:p>
    <w:p w14:paraId="283B01B8"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c) La asistencia material en la prestación de servicios municipales.</w:t>
      </w:r>
    </w:p>
    <w:p w14:paraId="7ABDBDB1"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d) La realización de actividades materiales y de gestión que le encomienden los municipios.</w:t>
      </w:r>
    </w:p>
    <w:p w14:paraId="5C2324F0" w14:textId="77777777" w:rsidR="00DB60FC" w:rsidRPr="00DB60FC" w:rsidRDefault="00DB60FC" w:rsidP="00DB60FC">
      <w:pPr>
        <w:shd w:val="clear" w:color="auto" w:fill="FFFFFF"/>
        <w:spacing w:after="150" w:line="375" w:lineRule="atLeast"/>
        <w:ind w:firstLine="708"/>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lastRenderedPageBreak/>
        <w:t>4. La asistencia a los municipios será voluntaria, previa solicitud del ayuntamiento y de acuerdo con los términos que se pacten. No obstante, la asistencia será obligatoria en los supuestos en que así esté establecido legalmente o cuando el cabildo insular deba prestarla a solicitud de los municipios, de acuerdo con los requisitos y sistema de financiación que se establezca en el reglamento aprobado por el pleno de la corporación insular.</w:t>
      </w:r>
    </w:p>
    <w:p w14:paraId="4B4CEBEB"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Artículo 11. Asistencia jurídica, técnica y administrativa.</w:t>
      </w:r>
    </w:p>
    <w:p w14:paraId="61038351" w14:textId="77777777" w:rsidR="00DB60FC" w:rsidRPr="00DB60FC" w:rsidRDefault="00DB60FC" w:rsidP="00DB60FC">
      <w:pPr>
        <w:shd w:val="clear" w:color="auto" w:fill="FFFFFF"/>
        <w:spacing w:after="150" w:line="375" w:lineRule="atLeast"/>
        <w:ind w:firstLine="708"/>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1. Los cabildos insulares, sin perjuicio de la que corresponda o pueda realizarse por otras administraciones públicas, prestarán la siguiente asistencia jurídica, técnica y administrativa:</w:t>
      </w:r>
    </w:p>
    <w:p w14:paraId="5ED1984F"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a) Elaboración del planeamiento urbanístico y de instrumentos de gestión urbanística.</w:t>
      </w:r>
    </w:p>
    <w:p w14:paraId="29CCFF65"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b) Elaboración de los pliegos de condiciones y demás documentación integrante de la contratación pública, así como la colaboración en la organización y gestión de los procedimientos de contratación.</w:t>
      </w:r>
    </w:p>
    <w:p w14:paraId="386E805C"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c) Redacción de disposiciones generales, en especial de ordenanzas y normas orgánicas municipales.</w:t>
      </w:r>
    </w:p>
    <w:p w14:paraId="023F2BE2"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d) Implantación de tecnología de la información y de las comunicaciones, así como de administración electrónica.</w:t>
      </w:r>
    </w:p>
    <w:p w14:paraId="4C832424"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e) La colaboración en el cumplimiento de las obligaciones de transparencia.</w:t>
      </w:r>
    </w:p>
    <w:p w14:paraId="5E0E44E8"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f) Elaboración de estudios, planes y proyectos en cualquier materia de competencia municipal.</w:t>
      </w:r>
    </w:p>
    <w:p w14:paraId="6476623A"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g) Asesoramiento jurídico, técnico y económico, incluida la representación y defensa jurídica tanto en vía administrativa como jurisdiccional.</w:t>
      </w:r>
    </w:p>
    <w:p w14:paraId="2CA34521"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h) Elaboración de instrumentos de gestión de personal, planes de carrera profesional y evaluación del desempeño, así como el apoyo en la selección y formación de su personal.</w:t>
      </w:r>
    </w:p>
    <w:p w14:paraId="0E9FD8B6"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i) Elaboración y ejecución de programas de formación y desarrollo de competencias para representantes locales.</w:t>
      </w:r>
    </w:p>
    <w:p w14:paraId="254969CD"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j) Integración de la igualdad de género en la planificación, seguimiento y evaluación de las políticas municipales.</w:t>
      </w:r>
    </w:p>
    <w:p w14:paraId="0C6CB358"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k) Cualquier otra que pueda establecerse por iniciativa propia del cabildo insular o a petición de los ayuntamientos.</w:t>
      </w:r>
    </w:p>
    <w:p w14:paraId="4128F097" w14:textId="77777777" w:rsidR="00DB60FC" w:rsidRPr="00DB60FC" w:rsidRDefault="00DB60FC" w:rsidP="00DB60FC">
      <w:pPr>
        <w:shd w:val="clear" w:color="auto" w:fill="FFFFFF"/>
        <w:spacing w:after="150" w:line="375" w:lineRule="atLeast"/>
        <w:ind w:firstLine="708"/>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lastRenderedPageBreak/>
        <w:t>2. Los cabildos insulares aprobarán los reglamentos que sean precisos en los que se establezcan las condiciones y requisitos exigidos para los distintos tipos de asistencia, así como la forma de financiación que en cada caso corresponda.</w:t>
      </w:r>
    </w:p>
    <w:p w14:paraId="5AA29E7B" w14:textId="77777777" w:rsidR="00DB60FC" w:rsidRPr="00DB60FC" w:rsidRDefault="00DB60FC" w:rsidP="00DB60FC">
      <w:pPr>
        <w:shd w:val="clear" w:color="auto" w:fill="FFFFFF"/>
        <w:spacing w:after="150" w:line="375" w:lineRule="atLeast"/>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Artículo 12. Asistencia en la gestión de servicios municipales.</w:t>
      </w:r>
    </w:p>
    <w:p w14:paraId="2BA6B56B" w14:textId="77777777" w:rsidR="00DB60FC" w:rsidRPr="00DB60FC" w:rsidRDefault="00DB60FC" w:rsidP="00DB60FC">
      <w:pPr>
        <w:shd w:val="clear" w:color="auto" w:fill="FFFFFF"/>
        <w:spacing w:after="150" w:line="375" w:lineRule="atLeast"/>
        <w:ind w:firstLine="708"/>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1. Para asegurar la prestación integral y adecuada en la totalidad del territorio insular de los servicios de competencia municipal, los cabildos insulares facilitarán asistencia material en la prestación de los servicios municipales, especialmente de los servicios mínimos.</w:t>
      </w:r>
    </w:p>
    <w:p w14:paraId="358A9074" w14:textId="77777777" w:rsidR="00DB60FC" w:rsidRPr="00DB60FC" w:rsidRDefault="00DB60FC" w:rsidP="00DB60FC">
      <w:pPr>
        <w:shd w:val="clear" w:color="auto" w:fill="FFFFFF"/>
        <w:spacing w:line="375" w:lineRule="atLeast"/>
        <w:ind w:firstLine="708"/>
        <w:jc w:val="both"/>
        <w:rPr>
          <w:rFonts w:ascii="Raleigh BT" w:eastAsia="Times New Roman" w:hAnsi="Raleigh BT" w:cs="Arial"/>
          <w:color w:val="0E0E0E"/>
          <w:kern w:val="0"/>
          <w:lang w:eastAsia="es-ES"/>
          <w14:ligatures w14:val="none"/>
        </w:rPr>
      </w:pPr>
      <w:r w:rsidRPr="00DB60FC">
        <w:rPr>
          <w:rFonts w:ascii="Raleigh BT" w:eastAsia="Times New Roman" w:hAnsi="Raleigh BT" w:cs="Arial"/>
          <w:color w:val="0E0E0E"/>
          <w:kern w:val="0"/>
          <w:lang w:eastAsia="es-ES"/>
          <w14:ligatures w14:val="none"/>
        </w:rPr>
        <w:t>2. A los efectos previstos en el apartado anterior, se podrá utilizar cualquier fórmula de asistencia y cooperación, así como otorgar subvenciones y ayudas con cargo a los recursos propios del cabildo insular para la realización y el mantenimiento de obras y servicios municipales, que podrán instrumentarse a través del plan insular de obras y servicios, de planes sectoriales o especiales, o de cualquier otro instrumento específico.</w:t>
      </w:r>
    </w:p>
    <w:p w14:paraId="0967A990" w14:textId="77777777" w:rsidR="00DF4CFA" w:rsidRPr="00DB60FC" w:rsidRDefault="00DF4CFA" w:rsidP="00DB60FC">
      <w:pPr>
        <w:jc w:val="both"/>
        <w:rPr>
          <w:rFonts w:ascii="Raleigh BT" w:hAnsi="Raleigh BT"/>
        </w:rPr>
      </w:pPr>
    </w:p>
    <w:sectPr w:rsidR="00DF4CFA" w:rsidRPr="00DB60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FC"/>
    <w:rsid w:val="00DB60FC"/>
    <w:rsid w:val="00DF4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858D"/>
  <w15:chartTrackingRefBased/>
  <w15:docId w15:val="{350A1A52-EE2F-44D3-BFF4-249A37B8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B60F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B60FC"/>
    <w:rPr>
      <w:rFonts w:ascii="Times New Roman" w:eastAsia="Times New Roman" w:hAnsi="Times New Roman" w:cs="Times New Roman"/>
      <w:b/>
      <w:bCs/>
      <w:kern w:val="0"/>
      <w:sz w:val="27"/>
      <w:szCs w:val="27"/>
      <w:lang w:eastAsia="es-ES"/>
      <w14:ligatures w14:val="none"/>
    </w:rPr>
  </w:style>
  <w:style w:type="paragraph" w:styleId="NormalWeb">
    <w:name w:val="Normal (Web)"/>
    <w:basedOn w:val="Normal"/>
    <w:uiPriority w:val="99"/>
    <w:semiHidden/>
    <w:unhideWhenUsed/>
    <w:rsid w:val="00DB60F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text">
    <w:name w:val="text"/>
    <w:basedOn w:val="Normal"/>
    <w:rsid w:val="00DB60F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DB6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70566">
      <w:bodyDiv w:val="1"/>
      <w:marLeft w:val="0"/>
      <w:marRight w:val="0"/>
      <w:marTop w:val="0"/>
      <w:marBottom w:val="0"/>
      <w:divBdr>
        <w:top w:val="none" w:sz="0" w:space="0" w:color="auto"/>
        <w:left w:val="none" w:sz="0" w:space="0" w:color="auto"/>
        <w:bottom w:val="none" w:sz="0" w:space="0" w:color="auto"/>
        <w:right w:val="none" w:sz="0" w:space="0" w:color="auto"/>
      </w:divBdr>
      <w:divsChild>
        <w:div w:id="726994423">
          <w:marLeft w:val="0"/>
          <w:marRight w:val="0"/>
          <w:marTop w:val="0"/>
          <w:marBottom w:val="450"/>
          <w:divBdr>
            <w:top w:val="none" w:sz="0" w:space="0" w:color="auto"/>
            <w:left w:val="none" w:sz="0" w:space="0" w:color="auto"/>
            <w:bottom w:val="none" w:sz="0" w:space="0" w:color="auto"/>
            <w:right w:val="none" w:sz="0" w:space="0" w:color="auto"/>
          </w:divBdr>
          <w:divsChild>
            <w:div w:id="1635139796">
              <w:marLeft w:val="-225"/>
              <w:marRight w:val="-225"/>
              <w:marTop w:val="0"/>
              <w:marBottom w:val="225"/>
              <w:divBdr>
                <w:top w:val="none" w:sz="0" w:space="0" w:color="auto"/>
                <w:left w:val="none" w:sz="0" w:space="0" w:color="auto"/>
                <w:bottom w:val="none" w:sz="0" w:space="0" w:color="auto"/>
                <w:right w:val="none" w:sz="0" w:space="0" w:color="auto"/>
              </w:divBdr>
              <w:divsChild>
                <w:div w:id="19210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716">
          <w:marLeft w:val="0"/>
          <w:marRight w:val="0"/>
          <w:marTop w:val="0"/>
          <w:marBottom w:val="450"/>
          <w:divBdr>
            <w:top w:val="none" w:sz="0" w:space="0" w:color="auto"/>
            <w:left w:val="none" w:sz="0" w:space="0" w:color="auto"/>
            <w:bottom w:val="none" w:sz="0" w:space="0" w:color="auto"/>
            <w:right w:val="none" w:sz="0" w:space="0" w:color="auto"/>
          </w:divBdr>
          <w:divsChild>
            <w:div w:id="1479764109">
              <w:marLeft w:val="-225"/>
              <w:marRight w:val="-225"/>
              <w:marTop w:val="0"/>
              <w:marBottom w:val="225"/>
              <w:divBdr>
                <w:top w:val="none" w:sz="0" w:space="0" w:color="auto"/>
                <w:left w:val="none" w:sz="0" w:space="0" w:color="auto"/>
                <w:bottom w:val="none" w:sz="0" w:space="0" w:color="auto"/>
                <w:right w:val="none" w:sz="0" w:space="0" w:color="auto"/>
              </w:divBdr>
              <w:divsChild>
                <w:div w:id="10260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4068</Characters>
  <Application>Microsoft Office Word</Application>
  <DocSecurity>0</DocSecurity>
  <Lines>33</Lines>
  <Paragraphs>9</Paragraphs>
  <ScaleCrop>false</ScaleCrop>
  <Company>Ayto La Laguna</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Marrero Salas</dc:creator>
  <cp:keywords/>
  <dc:description/>
  <cp:lastModifiedBy>Moisés Marrero Salas</cp:lastModifiedBy>
  <cp:revision>1</cp:revision>
  <dcterms:created xsi:type="dcterms:W3CDTF">2023-10-23T12:20:00Z</dcterms:created>
  <dcterms:modified xsi:type="dcterms:W3CDTF">2023-10-23T12:22:00Z</dcterms:modified>
</cp:coreProperties>
</file>